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53307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>ZAKON</w:t>
      </w:r>
    </w:p>
    <w:p w:rsidR="00F53307" w:rsidRPr="00F53307" w:rsidRDefault="00F53307" w:rsidP="00F5330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53307">
        <w:rPr>
          <w:rFonts w:ascii="Arial" w:eastAsia="Times New Roman" w:hAnsi="Arial" w:cs="Arial"/>
          <w:b/>
          <w:bCs/>
          <w:color w:val="000000"/>
          <w:sz w:val="27"/>
          <w:szCs w:val="27"/>
        </w:rPr>
        <w:t>O POREZU NA NEPOKRETNOSTI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F53307">
        <w:rPr>
          <w:rFonts w:ascii="Arial" w:eastAsia="Times New Roman" w:hAnsi="Arial" w:cs="Arial"/>
          <w:color w:val="000000"/>
          <w:sz w:val="15"/>
          <w:szCs w:val="15"/>
        </w:rPr>
        <w:t>(Objavljen u "Sl. listu RCG", br. 65 od 31. decembra 2001, 69/03, "Sl. listu Crne Gore", br. 75 od 21. decembra 2010)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</w:rPr>
        <w:t>Opšte odredbe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lan1"/>
      <w:bookmarkEnd w:id="0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</w:rPr>
        <w:t>Član 1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" name="Picture 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" name="Picture 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1"/>
      <w:bookmarkEnd w:id="1"/>
      <w:r w:rsidRPr="00F53307">
        <w:rPr>
          <w:rFonts w:ascii="Arial" w:eastAsia="Times New Roman" w:hAnsi="Arial" w:cs="Arial"/>
          <w:color w:val="000000"/>
          <w:sz w:val="15"/>
        </w:rPr>
        <w:t>     (1) Ovim zakonom uređuju se osnovni elementi poreza na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(2) Porez na nepokretnosti uvodi jedinica lokalne samouprave svojim propisom.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lan2"/>
      <w:bookmarkEnd w:id="2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</w:rPr>
        <w:t>Član 2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" name="Picture 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" name="Picture 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2"/>
      <w:bookmarkEnd w:id="3"/>
      <w:r w:rsidRPr="00F53307">
        <w:rPr>
          <w:rFonts w:ascii="Arial" w:eastAsia="Times New Roman" w:hAnsi="Arial" w:cs="Arial"/>
          <w:color w:val="000000"/>
          <w:sz w:val="15"/>
        </w:rPr>
        <w:t>     Prihodi od poreza na nepokretnosti pripadaju jedinici lokalne samouprave na čijoj teritoriji se nalazi nepokretnost.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</w:rPr>
        <w:t>Predmet oporezivanja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clan3"/>
      <w:bookmarkEnd w:id="4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</w:rPr>
        <w:t>Član 3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5" name="Picture 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6" name="Picture 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03"/>
      <w:bookmarkEnd w:id="5"/>
      <w:r w:rsidRPr="00F53307">
        <w:rPr>
          <w:rFonts w:ascii="Arial" w:eastAsia="Times New Roman" w:hAnsi="Arial" w:cs="Arial"/>
          <w:color w:val="000000"/>
          <w:sz w:val="15"/>
        </w:rPr>
        <w:t>     (1) Porez na nepokretnosti plaća se na nepokretnosti koje se nalaze na teritoriji Crne Gore, a koje nijesu izuzete ovim zakonom.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(2) Nepokretnostima iz stava 1 ovog člana smatraju se: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- zemljište (građevinsko, šumsko, poljoprivredno i ostalo);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- građevinski objekti (poslovni, stambeni, stambeno-poslovni i drugi objekti);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- posebni djelovi stambene zgrade (stanovi, poslovne prostorije, podrumi, garaže, odnosno garažna mjesta i dr.).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(3) Zgrade i drugi građevinski objekti koji su u odvojenom vlasništvu od zemljišta, kao i stambene i poslovne jedinice zgrada mogu se zasebno oporezivati.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</w:rPr>
        <w:t>Poreski obveznik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clan4"/>
      <w:bookmarkEnd w:id="6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</w:rPr>
        <w:t>Član 4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7" name="Picture 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8" name="Picture 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7" w:name="1004"/>
      <w:bookmarkEnd w:id="7"/>
      <w:r w:rsidRPr="00F53307">
        <w:rPr>
          <w:rFonts w:ascii="Arial" w:eastAsia="Times New Roman" w:hAnsi="Arial" w:cs="Arial"/>
          <w:color w:val="000000"/>
          <w:sz w:val="15"/>
        </w:rPr>
        <w:t>     (1) Obveznik poreza na nepokretnosti je vlasnik nepokretnosti na dan 1. januara godine za koju se utvrđuje porez.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(2) Kad je vlasnik nepokretnosti nepoznat ili nije određen, obveznik poreza na nepokretnosti je korisnik te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 xml:space="preserve">     (3) Ako više lica ima susvojinu ili zajedničku svojinu na istoj nepokretnosti, obveznik poreza na nepokretnosti je svako od tih lica srazmjerno svom udjelu. </w:t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Poreski obveznici solidarno su odgovorni za plaćanje poreza na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Poreska osnovica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8" w:name="clan5"/>
      <w:bookmarkEnd w:id="8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5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9" name="Picture 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0" name="Picture 1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9" w:name="1005"/>
      <w:bookmarkEnd w:id="9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Osnovica poreza na nepokretnosti je tržišna vrijednost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Tržišnu vrijednost nepokretnosti predstavlja vrijednost te nepokretnosti na dan 1. januara godine za koju se porez utvrđuje.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Kriterijumi za određivanje tržišne vrijednosti nepokretnosti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0" w:name="clan6"/>
      <w:bookmarkEnd w:id="10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6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1" name="Picture 1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2" name="Picture 1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1" w:name="1006"/>
      <w:bookmarkEnd w:id="11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Osnovni kriterijumi za određivanje tržišne vrijednosti nepokretnosti su: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1) namjena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2) veličina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3) mjesto gdje se nepokretnost nalazi;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4) kvalitet nepokretnosti i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5) drugi elementi koji mogu imati uticaja na tržišnu vrijednost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Bliže kriterijume i metodologiju za određivanje tržišne vrijednosti nepokretnosti propisuje Vlada Crne Gore (u daljem tekstu: Vlada), na predlog organa državne uprave nadležnog za poslove finansija (u daljem tekstu: Ministarstvo).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(3) Metodologija iz stava 2 ovog člana usklađuje se sa tržišnim uslovima, a najmanje jedanput u tri godine.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Nastanak poreske obaveze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2" w:name="clan7"/>
      <w:bookmarkEnd w:id="12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7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3" name="Picture 1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4" name="Picture 1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3" w:name="1007"/>
      <w:bookmarkEnd w:id="13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Obaveza po osnovu poreza na nepokretnosti nastaje 1. januara godine za koju se porez utvrđuje.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Tržišnu vrijednost nepokretnosti iz stava 1 ovog člana određuje nadležni poreski organ jedinice lokalne samouprave.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4" w:name="clan8"/>
      <w:bookmarkEnd w:id="14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lastRenderedPageBreak/>
        <w:t>Član 8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5" name="Picture 1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6" name="Picture 1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5" w:name="1008"/>
      <w:bookmarkEnd w:id="15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U slučaju nastanka štete na nepokretnostima usled više sile (suše, poplave, požara, zemljotresa...), jedinica lokalne samouprave može, sama ili na zahtjev poreskog obveznika, izvršiti ponovnu procjenu tržišne vrijednosti nepokretnosti iz člana </w:t>
      </w:r>
      <w:hyperlink r:id="rId5" w:anchor="clan7" w:history="1">
        <w:r w:rsidRPr="00F53307">
          <w:rPr>
            <w:rFonts w:ascii="Arial" w:eastAsia="Times New Roman" w:hAnsi="Arial" w:cs="Arial"/>
            <w:color w:val="8A082A"/>
            <w:sz w:val="15"/>
            <w:lang w:val="it-IT"/>
          </w:rPr>
          <w:t>7</w:t>
        </w:r>
      </w:hyperlink>
      <w:r w:rsidRPr="00F53307">
        <w:rPr>
          <w:rFonts w:ascii="Arial" w:eastAsia="Times New Roman" w:hAnsi="Arial" w:cs="Arial"/>
          <w:color w:val="000000"/>
          <w:sz w:val="15"/>
          <w:lang w:val="it-IT"/>
        </w:rPr>
        <w:t> ovog zakona.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Poreske stope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6" w:name="clan9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9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7" name="Picture 1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8" name="Picture 1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7" w:name="1009"/>
      <w:bookmarkEnd w:id="17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Stopa poreza na nepokretnosti je proporcionalna i može iznositi od 0,10% do 1,00% tržišne vrijednosti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bookmarkEnd w:id="16"/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9a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19" name="Picture 1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0" name="Picture 2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8" w:name="1010"/>
      <w:bookmarkEnd w:id="18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Jedinica lokalne samouprave može utvrditi višu poresku stopu od stope utvrđene u skladu sa članom 9 ovog zakona i to za: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1) poljoprivredno zemljište koje se ne obrađuje;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2) sekundarni stambeni objekat, odnosno stan;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3) objekat koji je izgrađen suprotno zakonu;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4) ugostiteljski objekat koji se nalazi u zoni prioritetnog turističkog lokaliteta, a na osnovu akta Vlade o utvrđivanju prioritetnog turističkog lokaliteta;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5) građevinsko zemljište koje nije privedeno namjeni u skladu sa planskom dokumentacijom.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Za poljoprivredno zemljište iz stava 1 tačka 1 ovog člana poreska stopa se može uvećati 50% u odnosu na utvrđenu poresku stopu.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(3) Bliži propis šta se smatra poljoprivrednim zemljištem koje se obrađuje donosi organ državne uprave nadležan za poslove poljoprivrede.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(4) Za sekundarni stambeni objekat, odnosno stan iz stava 1 tačka 2 ovog člana poreska stopa se može uvećati 100% u odnosu na utvrđenu poresku stopu.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(5) Pod sekundarnim stambenim objektom iz stava 1 tačka 2 ovog člana smatra se stambeni objekat, odnosno stan koji nije prebivalište vlasnika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(6) Za objekat iz stava 1 tačka 3 ovog člana poreska stopa se može uvećati u odnosu na utvrđenu poresku stopu i to: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za objekat sa građevinskom dozvolom za koji investitor nije pribavio upotrebnu dozvolu u skladu sa zakonom 25%;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za objekat ili posebni dio objekta koji nije izgrađen u skladu sa građevinskom dozvolom 50%;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za objekat koji nije predviđen prostorno-planskom dokumentacijom 100%;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za objekat koji je izgrađen bez građevinske dozvole na području za koje postoji detaljni urbanistički plan kojim je taj objekat planiran 100%;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za objekat koji je izgrađen na tuđem zemljištu 150%.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(7) Za ugostiteljski objekat iz stava 1 tačka 4 ovog člana organ lokalne samouprave može propisati poresku stopu i to za: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ugostiteljski objekat kategorije 3 *** od 2 do 2,5% tržišne vrijednosti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ugostiteljski objekat kategorije 2 ** od 3 do 3,5% tržišne vrijednosti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ugostiteljski objekat kategorije 1 * od 4 do 4,5% tržišne vrijednosti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- ugostiteljski objekti koji se ne kategorišu od 5 do 5,5% tržišne vrijednosti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(8) Pod ugostiteljskim objektom iz stava 1 tačka 4 ovog člana smatra se objekat u kome se obavlja ugostiteljska djelatnost (hotel &amp; resort, wild beauty resort, hotel, mali hotel, boutique hotel, hotel garni, aparthotel, condohotel, hostel, pansion, motel, turističko naselje, etno selo, eko lodge, vila, gostionica, planinarski dom, odmaralište, kamp i sl.), a koji se nalazi u zoni prioritetnog turističkog lokaliteta.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(9) Za građevinsko zemljište iz stava 1 tačka 5 ovog člana poreska stopa se može uvećati 150% u odnosu na poresku stopu utvrđenu u skladu sa članom 9 ovog zakona.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(10) Građevinskim zemljištem iz stava 1 tačka 5 ovog člana smatra se zemljište koje se nalazi unutar granica građevinskog područja naselja na kome se, u skladu sa prostorinim planom, mogu graditi građevinski objekti, a na kojem nije izgrađen građevinski objekat ili nije pokrenut postupak za dobijanje građevinske dozvole.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(11) Propis iz stava 3 ovog člana organ uprave nadležan za poslove poljoprivrede donijeće u roku od šest mjeseci od dana stupanja na snagu ovog zakona.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Poreska oslobođenja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9" w:name="clan10"/>
      <w:bookmarkEnd w:id="19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10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1" name="Picture 2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2" name="Picture 2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0" w:name="1011"/>
      <w:bookmarkEnd w:id="20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Porez na nepokretnosti ne plaća se na: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1) nepokretnosti u državnoj svojini, koje koriste državni organi, organizacije i službe, organi jedinice lokalne samouprave i organizacije koje obavljaju javnu službu za funkcije za koje su osnovane;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2) nepokretnosti u vlasništvu Centralne banke Crne Gore;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3) nepokretnosti u vlasništvu ili koje koriste akreditovana konzularna i diplomatska predstavništva, ako se nepokretnosti koriste u te svrhe i pod uslovom reciprociteta;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4) nepokretnosti u vlasništvu međunarodnih organizacija, ako je tako predviđeno sporazumom;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5) nepokretnosti koje su u skladu sa zakonom proglašene spomenicima kulture;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6) nepokretnosti u vlasništvu vjerskih organizacija koje se koriste za vjerske potrebe ili kao stambeni prostor sveštenstva;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7) nepokretnosti u vlasništvu nevladinih organizacija koje se koriste za funkcije za koje su osnovane;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8) javne puteve, ulice, trgove i parkove, luke, željezničke pruge i aerodrome, zaštićene i zaštitne šume i nacionalne parkove.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Oslobođenja iz stava 1 ovog člana ostvaruju se pod uslovom da se nepokretnosti ne koriste za sticanje prihoda na tržištu.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(3) Oslobođenje iz stava 1 ovog člana ne odnosi se na objekte iz člana </w:t>
      </w:r>
      <w:hyperlink r:id="rId6" w:anchor="clan9" w:history="1">
        <w:r w:rsidRPr="00F53307">
          <w:rPr>
            <w:rFonts w:ascii="Arial" w:eastAsia="Times New Roman" w:hAnsi="Arial" w:cs="Arial"/>
            <w:color w:val="8A082A"/>
            <w:sz w:val="15"/>
            <w:lang w:val="it-IT"/>
          </w:rPr>
          <w:t>9</w:t>
        </w:r>
      </w:hyperlink>
      <w:r w:rsidRPr="00F53307">
        <w:rPr>
          <w:rFonts w:ascii="Arial" w:eastAsia="Times New Roman" w:hAnsi="Arial" w:cs="Arial"/>
          <w:color w:val="000000"/>
          <w:sz w:val="15"/>
          <w:lang w:val="it-IT"/>
        </w:rPr>
        <w:t>a stav 1 tačka 3 ovog zakona.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(4) Porez na nepokretnosti ne plaća se u slučaju kad ukupna poreska osnovica za sve nepokretnosti određenog poreskog obveznika ne prelazi iznos 5.000 Eura i ako se ta nepokretnost ne koristi za sticanje prihoda.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Poreske olakšice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1" w:name="clan11"/>
      <w:bookmarkEnd w:id="21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11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3" name="Picture 2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4" name="Picture 2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2" w:name="1012"/>
      <w:bookmarkEnd w:id="22"/>
      <w:r w:rsidRPr="00F53307">
        <w:rPr>
          <w:rFonts w:ascii="Arial" w:eastAsia="Times New Roman" w:hAnsi="Arial" w:cs="Arial"/>
          <w:color w:val="000000"/>
          <w:sz w:val="15"/>
          <w:lang w:val="it-IT"/>
        </w:rPr>
        <w:lastRenderedPageBreak/>
        <w:t>     (1) Porez na nepokretnosti na zgrade i stanove, koji poreskom obvezniku služe kao glavno mjesto stanovanja, umanjuje se za 20% za poreskog obveznika i po 10% za svakog člana njegovog domaćinstva, a najviše do 50% poreske obaveze.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Poreski period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3" w:name="clan12"/>
      <w:bookmarkEnd w:id="23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12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5" name="Picture 2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6" name="Picture 2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4" w:name="1013"/>
      <w:bookmarkEnd w:id="24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Period za utvrđivanje poreza na nepokretnosti je kalendarska godina.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Utvrđivanje i plaćanje poreza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5" w:name="clan13"/>
      <w:bookmarkEnd w:id="25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13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7" name="Picture 2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8" name="Picture 2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6" w:name="1014"/>
      <w:bookmarkEnd w:id="26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Porez na nepokretnosti utvrđuje se rješenjem nadležnog organa jedinice lokalne samouprave do 31. maja tekuće godine.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Porez na nepokretnosti se plaća u dvije jednake rate, od kojih prva dospijeva 30. juna, a druga 30. novembra godine za koju se porez utvrđuje.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Poreska prijava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7" w:name="clan14"/>
      <w:bookmarkEnd w:id="27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14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29" name="Picture 2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0" name="Picture 3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8" w:name="1015"/>
      <w:bookmarkEnd w:id="28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Vlasnici nepokretnosti dužni su da, u roku od 30 dana od dana sticanja nepokretnosti, nadležnom poreskom organu jedinice lokalne samouprave podnesu poresku prijavu.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Oblik i sadržinu prijave propisuje poreski organ iz stava 1 ovog člana.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Obaveze organa nadležnog za nekretnine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9" w:name="clan15"/>
      <w:bookmarkEnd w:id="29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15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87630"/>
            <wp:effectExtent l="19050" t="0" r="7620" b="0"/>
            <wp:docPr id="31" name="Picture 31" descr="http://www.podaci.net/_novo/img/p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_novo/img/plu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2" name="Picture 3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0" w:name="1016"/>
      <w:bookmarkEnd w:id="30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Organ državne uprave nadležan za nekretnine dužan je da podatke o vlasništvu na nepokretnostima, koje se vode kod tog organa, jedinici lokalne samouprave dostavi do kraja novembra godine koja prethodi godini za koju se porez utvrđuje.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</w:rPr>
        <w:t>Obaveze jedinice lokalne samouprave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1" w:name="clan16"/>
      <w:bookmarkEnd w:id="31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</w:rPr>
        <w:t>Član 16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3" name="Picture 3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4" name="Picture 3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2" w:name="1017"/>
      <w:bookmarkEnd w:id="32"/>
      <w:r w:rsidRPr="00F53307">
        <w:rPr>
          <w:rFonts w:ascii="Arial" w:eastAsia="Times New Roman" w:hAnsi="Arial" w:cs="Arial"/>
          <w:color w:val="000000"/>
          <w:sz w:val="15"/>
        </w:rPr>
        <w:t>     (1) Jedinica lokalne samouprave dužna je da: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1) određuje tržišnu vrijednost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2) određuje stope poreza na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3) vrši poslove utvrđivanja, kontrole i naplate poreza na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4) vodi registar oporezivih nepokretnosti;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5) redovno usaglašava stanje svog registra nepokretnosti sa registrom nepokretnosti koji vodi organ državne uprave nadležan za nekretnine;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6) Ministarstvu dostavlja podatke koji se odnose na utvrđivanje i naplatu poreza na nepokretnosti, po potrebi, a najmanje jedanput godišnje.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F53307">
        <w:rPr>
          <w:rFonts w:ascii="Arial" w:eastAsia="Times New Roman" w:hAnsi="Arial" w:cs="Arial"/>
          <w:color w:val="000000"/>
          <w:sz w:val="15"/>
        </w:rPr>
        <w:t>     </w:t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(2) Ministarstvo propisuje oblik i sadržinu registra iz stava 1 tačka 6) ovog člana.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6347"/>
          <w:sz w:val="15"/>
          <w:szCs w:val="15"/>
          <w:u w:val="single"/>
          <w:lang w:val="it-IT"/>
        </w:rPr>
      </w:pPr>
      <w:r w:rsidRPr="00F53307">
        <w:rPr>
          <w:rFonts w:ascii="Arial" w:eastAsia="Times New Roman" w:hAnsi="Arial" w:cs="Arial"/>
          <w:b/>
          <w:bCs/>
          <w:color w:val="FF6347"/>
          <w:sz w:val="15"/>
          <w:szCs w:val="15"/>
          <w:u w:val="single"/>
          <w:lang w:val="it-IT"/>
        </w:rPr>
        <w:t>Nadzor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3" w:name="clan17"/>
      <w:bookmarkEnd w:id="33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17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5" name="Picture 3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6" name="Picture 3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4" w:name="1018"/>
      <w:bookmarkEnd w:id="34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Nadzor nad sprovođenjem ovog zakona vrši Ministarstvo.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Shodna primjena propisa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5" w:name="clan18"/>
      <w:bookmarkEnd w:id="35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18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7" name="Picture 3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8" name="Picture 3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6" w:name="1019"/>
      <w:bookmarkEnd w:id="36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U pogledu poreskog postupka i drugih pitanja koja posebno nijesu uređena ovim zakonom (žalbeni postupak, prinudna naplata, kamata, jemstvo...) shodno se primjenjuju odredbe zakona kojim je uređen poreski postupak.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Propisi za sprovođenje zakona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7" w:name="clan19"/>
      <w:bookmarkEnd w:id="37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19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39" name="Picture 3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0" name="Picture 4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8" w:name="1020"/>
      <w:bookmarkEnd w:id="38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Propisi za sprovođenje ovog zakona donijeće se najkasnije u roku od devet mjeseci od dana stupanja na snagu ovog zakona.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Prelazne odredbe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39" w:name="clan20"/>
      <w:bookmarkEnd w:id="39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20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1" name="Picture 4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2" name="Picture 4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0" w:name="1021"/>
      <w:bookmarkEnd w:id="40"/>
      <w:r w:rsidRPr="00F53307">
        <w:rPr>
          <w:rFonts w:ascii="Arial" w:eastAsia="Times New Roman" w:hAnsi="Arial" w:cs="Arial"/>
          <w:color w:val="000000"/>
          <w:sz w:val="15"/>
          <w:lang w:val="it-IT"/>
        </w:rPr>
        <w:lastRenderedPageBreak/>
        <w:t>     Oporezivanje nepokretnosti za 2002. godinu vrši se prema odredbama Zakona o porezu na imovinu ("Službeni list RCG", br. 3/92, 30/93, 3/94, 42/94, 20/95 i 45/98) i propisa donijetih na osnovu tog zakona.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1" w:name="clan21"/>
      <w:bookmarkEnd w:id="41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21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3" name="Picture 4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4" name="Picture 4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2" w:name="1022"/>
      <w:bookmarkEnd w:id="42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Direkcija za nekretnine i Direkcija javnih prihoda dužni su da, u roku od šest mjeseci od dana stupanja na snagu ovog zakona, jedinici lokalne samouprave stave na raspolaganje podatke o nepokretnostima koje se vode kod tih organa.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3" w:name="clan22"/>
      <w:bookmarkEnd w:id="43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22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5" name="Picture 4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6" name="Picture 4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4" w:name="1023"/>
      <w:bookmarkEnd w:id="44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Obveznici poreza na imovinu (na nepokretnosti) prema odredbama Zakona o porezu na imovinu ("Službeni list RCG", br. 3/92, 30/93, 3/94, 42/94, 20/95 i 45/98), dužni su da nadležnom poreskom organu jedinice lokalne samouprave u roku od devet mjeseci od dana stupanja na snagu ovog zakona podnesu poresku prijavu.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Oblik i sadržinu poreske prijave propisuje poreski organ iz stava 1 ovog člana.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5" w:name="clan23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23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7" name="Picture 4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8" name="Picture 4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6" w:name="1024"/>
      <w:bookmarkEnd w:id="46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(Prestao da važi).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bookmarkEnd w:id="45"/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23a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49" name="Picture 4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50" name="Picture 5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7" w:name="1025"/>
      <w:bookmarkEnd w:id="47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(1) Odredba člana 9a stav 6 ovog zakona primjenjivaće se od 1. januara 2012. godine.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(2) Odredba člana 9a stav 7 ovog zakona primjenjivaće se od početka treće fiskalne godine od dana donošenja akta Vlade o utvrđivanju prioritetnog turističkog lokaliteta i odgovarajuće planske dokumentacije.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(3) Odredba člana 9a stav 9 ovog zakona primjenjivaće se od početka druge fiskalne godine od dana donošenja odgovarajuće planske dokumentacije.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</w:pPr>
      <w:r w:rsidRPr="00F53307">
        <w:rPr>
          <w:rFonts w:ascii="Arial" w:eastAsia="Times New Roman" w:hAnsi="Arial" w:cs="Arial"/>
          <w:b/>
          <w:bCs/>
          <w:color w:val="8A082A"/>
          <w:sz w:val="15"/>
          <w:szCs w:val="15"/>
          <w:lang w:val="it-IT"/>
        </w:rPr>
        <w:t>Završne odredbe</w:t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8" w:name="clan24"/>
      <w:bookmarkEnd w:id="48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  <w:lang w:val="it-IT"/>
        </w:rPr>
        <w:t>Član 24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51" name="Picture 5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52" name="Picture 5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7" w:rsidRPr="00F53307" w:rsidRDefault="00F53307" w:rsidP="00F5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49" w:name="1026"/>
      <w:bookmarkEnd w:id="49"/>
      <w:r w:rsidRPr="00F53307">
        <w:rPr>
          <w:rFonts w:ascii="Arial" w:eastAsia="Times New Roman" w:hAnsi="Arial" w:cs="Arial"/>
          <w:color w:val="000000"/>
          <w:sz w:val="15"/>
          <w:lang w:val="it-IT"/>
        </w:rPr>
        <w:t>     Danom stupanja na snagu ovog zakona prestaju da važe odredbe Zakona o porezu na imovinu ("Službeni list RCG", br. 3/92, 30/93, 3/94, 42/94, 20/95 i 45/98) i propisa donesenih na osnovu tog zakona, a koji se odnose na oporezivanje nepokretnosti.</w:t>
      </w:r>
      <w:r w:rsidRPr="00F53307">
        <w:rPr>
          <w:rFonts w:ascii="Arial" w:eastAsia="Times New Roman" w:hAnsi="Arial" w:cs="Arial"/>
          <w:color w:val="000000"/>
          <w:sz w:val="15"/>
          <w:szCs w:val="15"/>
          <w:lang w:val="it-IT"/>
        </w:rPr>
        <w:br/>
      </w:r>
    </w:p>
    <w:p w:rsidR="00F53307" w:rsidRPr="00F53307" w:rsidRDefault="00F53307" w:rsidP="00F5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0" w:name="clan25"/>
      <w:bookmarkEnd w:id="50"/>
      <w:r w:rsidRPr="00F53307">
        <w:rPr>
          <w:rFonts w:ascii="Arial" w:eastAsia="Times New Roman" w:hAnsi="Arial" w:cs="Arial"/>
          <w:b/>
          <w:bCs/>
          <w:color w:val="000000"/>
          <w:sz w:val="15"/>
          <w:szCs w:val="15"/>
        </w:rPr>
        <w:t>Član 25</w:t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53" name="Picture 5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87630" cy="79375"/>
            <wp:effectExtent l="0" t="0" r="0" b="0"/>
            <wp:docPr id="54" name="Picture 5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AC" w:rsidRDefault="00F53307" w:rsidP="00F53307">
      <w:bookmarkStart w:id="51" w:name="1027"/>
      <w:bookmarkEnd w:id="51"/>
      <w:r w:rsidRPr="00F53307">
        <w:rPr>
          <w:rFonts w:ascii="Arial" w:eastAsia="Times New Roman" w:hAnsi="Arial" w:cs="Arial"/>
          <w:color w:val="000000"/>
          <w:sz w:val="15"/>
        </w:rPr>
        <w:t>     Ovaj zakon stupa na snagu osmog dana od dana objavljivanja u "Službenom listu Republike Crne Gore", a primjenjivaće se od 1. januara 2003. godine.</w:t>
      </w:r>
      <w:r w:rsidRPr="00F53307">
        <w:rPr>
          <w:rFonts w:ascii="Arial" w:eastAsia="Times New Roman" w:hAnsi="Arial" w:cs="Arial"/>
          <w:color w:val="000000"/>
          <w:sz w:val="15"/>
          <w:szCs w:val="15"/>
        </w:rPr>
        <w:br/>
      </w:r>
    </w:p>
    <w:sectPr w:rsidR="001D6FAC" w:rsidSect="001D6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53307"/>
    <w:rsid w:val="001D6FAC"/>
    <w:rsid w:val="002C304B"/>
    <w:rsid w:val="004470AC"/>
    <w:rsid w:val="004A15A6"/>
    <w:rsid w:val="00F5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pand">
    <w:name w:val="expand"/>
    <w:basedOn w:val="DefaultParagraphFont"/>
    <w:rsid w:val="00F53307"/>
  </w:style>
  <w:style w:type="character" w:customStyle="1" w:styleId="apple-converted-space">
    <w:name w:val="apple-converted-space"/>
    <w:basedOn w:val="DefaultParagraphFont"/>
    <w:rsid w:val="00F53307"/>
  </w:style>
  <w:style w:type="character" w:styleId="Hyperlink">
    <w:name w:val="Hyperlink"/>
    <w:basedOn w:val="DefaultParagraphFont"/>
    <w:uiPriority w:val="99"/>
    <w:semiHidden/>
    <w:unhideWhenUsed/>
    <w:rsid w:val="00F533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_novo/prikaz-b.php?db=&amp;what=Z-pnepok04v0165-1075&amp;draft=0&amp;html=&amp;nas=16956&amp;nad=4&amp;god=2001&amp;status=1" TargetMode="External"/><Relationship Id="rId5" Type="http://schemas.openxmlformats.org/officeDocument/2006/relationships/hyperlink" Target="http://www.podaci.net/_novo/prikaz-b.php?db=&amp;what=Z-pnepok04v0165-1075&amp;draft=0&amp;html=&amp;nas=16956&amp;nad=4&amp;god=2001&amp;status=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tanja</cp:lastModifiedBy>
  <cp:revision>2</cp:revision>
  <dcterms:created xsi:type="dcterms:W3CDTF">2015-08-04T12:11:00Z</dcterms:created>
  <dcterms:modified xsi:type="dcterms:W3CDTF">2015-08-04T12:11:00Z</dcterms:modified>
</cp:coreProperties>
</file>